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56" w:rsidRDefault="00D50456">
      <w:r>
        <w:t>Voici les modifications apportées aux règlements généraux surlignés en jaune.  Ces modifications sont requises suite à l’utilisation régulière de nouvelles technologies au département de la comptabilité.</w:t>
      </w:r>
    </w:p>
    <w:p w:rsidR="00D50456" w:rsidRDefault="00D50456"/>
    <w:p w:rsidR="00D50456" w:rsidRDefault="00D50456">
      <w:r>
        <w:t>Extrait des Règlements généraux  (page 26) :</w:t>
      </w:r>
      <w:bookmarkStart w:id="0" w:name="_GoBack"/>
      <w:bookmarkEnd w:id="0"/>
    </w:p>
    <w:p w:rsidR="00D50456" w:rsidRDefault="00D50456" w:rsidP="00D50456">
      <w:pPr>
        <w:pStyle w:val="Titre2"/>
        <w:numPr>
          <w:ilvl w:val="0"/>
          <w:numId w:val="2"/>
        </w:numPr>
      </w:pPr>
      <w:bookmarkStart w:id="1" w:name="_Toc89826693"/>
      <w:bookmarkStart w:id="2" w:name="_Toc89827172"/>
      <w:bookmarkStart w:id="3" w:name="_Toc149251292"/>
      <w:bookmarkStart w:id="4" w:name="_Toc316907431"/>
      <w:bookmarkStart w:id="5" w:name="_Toc493095204"/>
      <w:r w:rsidRPr="000F33A4">
        <w:t>Effets négociables</w:t>
      </w:r>
      <w:bookmarkEnd w:id="1"/>
      <w:bookmarkEnd w:id="2"/>
      <w:bookmarkEnd w:id="3"/>
      <w:bookmarkEnd w:id="4"/>
      <w:bookmarkEnd w:id="5"/>
    </w:p>
    <w:p w:rsidR="00D50456" w:rsidRPr="005C7B25" w:rsidRDefault="00D50456" w:rsidP="00D50456">
      <w:pPr>
        <w:widowControl w:val="0"/>
        <w:ind w:left="40"/>
        <w:rPr>
          <w:color w:val="000000" w:themeColor="text1"/>
        </w:rPr>
      </w:pPr>
      <w:r>
        <w:t xml:space="preserve">Les chèques, billets à ordre, lettres de change, mandats, </w:t>
      </w:r>
      <w:r w:rsidRPr="00D50456">
        <w:rPr>
          <w:highlight w:val="yellow"/>
        </w:rPr>
        <w:t>virements bancaires, transferts électroniques</w:t>
      </w:r>
      <w:r>
        <w:t xml:space="preserve"> et autres effets négociables de la personne morale sont </w:t>
      </w:r>
      <w:r w:rsidRPr="00D50456">
        <w:rPr>
          <w:highlight w:val="yellow"/>
        </w:rPr>
        <w:t>signés et/ou autorisés</w:t>
      </w:r>
      <w:r>
        <w:t xml:space="preserve"> par </w:t>
      </w:r>
      <w:r w:rsidRPr="005C7B25">
        <w:rPr>
          <w:color w:val="000000" w:themeColor="text1"/>
        </w:rPr>
        <w:t xml:space="preserve">deux personnes, soit la direction générale et un administrateur habileté, soit deux administrateurs habiletés. </w:t>
      </w:r>
    </w:p>
    <w:p w:rsidR="00D50456" w:rsidRDefault="00D50456" w:rsidP="00D50456">
      <w:r w:rsidRPr="005C7B25">
        <w:rPr>
          <w:color w:val="000000" w:themeColor="text1"/>
        </w:rPr>
        <w:t>Les administrateurs habiletés à signer</w:t>
      </w:r>
      <w:r w:rsidRPr="00D50456">
        <w:rPr>
          <w:color w:val="000000" w:themeColor="text1"/>
        </w:rPr>
        <w:t xml:space="preserve"> </w:t>
      </w:r>
      <w:r w:rsidRPr="00D50456">
        <w:rPr>
          <w:color w:val="000000" w:themeColor="text1"/>
          <w:highlight w:val="yellow"/>
        </w:rPr>
        <w:t>et/ou autoriser</w:t>
      </w:r>
      <w:r w:rsidRPr="005C7B25">
        <w:rPr>
          <w:color w:val="000000" w:themeColor="text1"/>
        </w:rPr>
        <w:t xml:space="preserve"> les chèques, billets à ordre, lettres de change, mandats</w:t>
      </w:r>
      <w:r>
        <w:t xml:space="preserve">, </w:t>
      </w:r>
      <w:r w:rsidRPr="00D50456">
        <w:rPr>
          <w:highlight w:val="yellow"/>
        </w:rPr>
        <w:t>virements bancaires, transferts électroniques</w:t>
      </w:r>
      <w:r w:rsidRPr="005C7B25">
        <w:rPr>
          <w:color w:val="000000" w:themeColor="text1"/>
        </w:rPr>
        <w:t xml:space="preserve"> et autres effets négociables de la personne morale sont le président, le vice-président, le trésorier, le secrétaire ou un administrateur désigné par le conseil d’administration par résolution à la deuxième séance du conseil qui suit l’assemblée générale annuelle. </w:t>
      </w:r>
    </w:p>
    <w:p w:rsidR="00D50456" w:rsidRDefault="00D50456"/>
    <w:sectPr w:rsidR="00D504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6AB"/>
    <w:multiLevelType w:val="multilevel"/>
    <w:tmpl w:val="AB7662B6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9707E8"/>
    <w:multiLevelType w:val="multilevel"/>
    <w:tmpl w:val="14323B92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E7226"/>
    <w:multiLevelType w:val="hybridMultilevel"/>
    <w:tmpl w:val="8BA24890"/>
    <w:lvl w:ilvl="0" w:tplc="0C0C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6"/>
    <w:rsid w:val="00006264"/>
    <w:rsid w:val="00D5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236C-13C1-446C-B24D-BC211B8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56"/>
    <w:pPr>
      <w:spacing w:after="240" w:line="240" w:lineRule="auto"/>
    </w:pPr>
    <w:rPr>
      <w:rFonts w:ascii="Calibri" w:eastAsiaTheme="minorEastAsia" w:hAnsi="Calibri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456"/>
    <w:pPr>
      <w:keepNext/>
      <w:keepLines/>
      <w:numPr>
        <w:numId w:val="1"/>
      </w:numPr>
      <w:spacing w:before="200"/>
      <w:ind w:left="426" w:hanging="426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0456"/>
    <w:pPr>
      <w:keepNext/>
      <w:keepLines/>
      <w:numPr>
        <w:ilvl w:val="1"/>
        <w:numId w:val="1"/>
      </w:numPr>
      <w:spacing w:before="200" w:after="120"/>
      <w:ind w:left="1134" w:hanging="774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0456"/>
    <w:rPr>
      <w:rFonts w:ascii="Calibri" w:eastAsiaTheme="majorEastAsia" w:hAnsi="Calibri" w:cstheme="majorBidi"/>
      <w:b/>
      <w:bCs/>
      <w:color w:val="5B9BD5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D50456"/>
    <w:rPr>
      <w:rFonts w:ascii="Calibri" w:eastAsiaTheme="majorEastAsia" w:hAnsi="Calibri" w:cstheme="majorBidi"/>
      <w:b/>
      <w:bCs/>
      <w:color w:val="5B9BD5" w:themeColor="accent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4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456"/>
    <w:rPr>
      <w:rFonts w:ascii="Segoe UI" w:eastAsiaTheme="minorEastAsia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1</cp:revision>
  <dcterms:created xsi:type="dcterms:W3CDTF">2018-09-18T01:00:00Z</dcterms:created>
  <dcterms:modified xsi:type="dcterms:W3CDTF">2018-09-18T01:07:00Z</dcterms:modified>
</cp:coreProperties>
</file>